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日常生活中必知的法律常识（维权实用手册）</w:t>
      </w:r>
    </w:p>
    <w:p>
      <w:r>
        <w:t>日常生活中必知的法律常识（维权实用手册）</w:t>
      </w:r>
    </w:p>
    <w:p>
      <w:r>
        <w:t>一、借钱类：1.借钱一定要打借条，写明金额、期限、利息和身份证号；2.超过1万元建议走银行转账，保留记录；3.民间借贷年利率超过LPR四倍的部分，法院不支持；4.诉讼时效3年，从约定还款日起算。</w:t>
      </w:r>
    </w:p>
    <w:p>
      <w:r>
        <w:t>二、租房类：5.租房必须签书面合同；6.押金退还条件和期限写清楚；7.自然损耗由房东维修；8.房东无权擅自进入租客房间；9.租客转租需房东同意。</w:t>
      </w:r>
    </w:p>
    <w:p>
      <w:r>
        <w:t>三、消费维权类：10.买到假货可要求“退一赔三”（商品欺诈）；11.食品不符合安全标准可“退一赔十”；12.网购7天无理由退货（定制、鲜活等除外）；13.虚假宣传可向12315投诉；14.维权保留购物凭证和聊天记录。</w:t>
      </w:r>
    </w:p>
    <w:p>
      <w:r>
        <w:t>四、劳动类：15.入职必须签劳动合同；16.单位必须缴社保；17.加班应支付加班费；18.辞退需合法，违法辞退要赔偿2N；19.离职提前30天书面通知即可；20.拖欠工资可劳动仲裁或投诉劳动监察。</w:t>
      </w:r>
    </w:p>
    <w:p>
      <w:r>
        <w:t>五、婚姻家庭类：21.夫妻共同财产离婚时依法分割；22.婚前财产归个人；23.彩礼返还问题按法律规定处理；24.抚养费按子女实际需要和父母负担能力确定。</w:t>
      </w:r>
    </w:p>
    <w:p>
      <w:r>
        <w:t>六、交通事故类：25.事故后先报警和报保险，保留现场证据；26.人身损害赔偿包括医疗费、误工费、护理费等；27.肇事逃逸后果严重；28.电动车上路也要遵守交规。</w:t>
      </w:r>
    </w:p>
    <w:p>
      <w:r>
        <w:t>七、其他常识：29.身份证、银行卡信息不随意透露；30.签字前看清内容，空白文件不签；31.遭遇家暴立即报警并申请人身安全保护令；32.被骗及时报警，保留转账记录；33.公民有配合公安机关调查的义务，但也有权要求出示证件；34.未成年人消费大额商品，家长可要求退货。</w:t>
      </w:r>
    </w:p>
    <w:p>
      <w:r>
        <w:t>总结：遇事留证据（文字、转账、录音、照片），维权走正规渠道（12345、12315、110、法院），不懂就问专业律师。</w:t>
      </w:r>
    </w:p>
    <w:p>
      <w:r>
        <w:t>免责声明：本手册为通用法律常识普及，不构成法律意见，具体案件请咨询专业律师。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